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7C" w:rsidRPr="00482F60" w:rsidRDefault="0046777C" w:rsidP="0046777C">
      <w:pPr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46777C" w:rsidRPr="00482F60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482F60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482F60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482F60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482F60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482F60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482F60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482F60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482F60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482F60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482F60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482F60" w:rsidRDefault="00482F60" w:rsidP="00B96CE6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482F60">
        <w:rPr>
          <w:rFonts w:ascii="Times New Roman Bulgarian" w:hAnsi="Times New Roman Bulgarian" w:cs="Times New Roman Bulgarian"/>
          <w:b/>
          <w:bCs/>
          <w:caps/>
        </w:rPr>
        <w:t>ПРЕДЛОЖЕНИЕ ЗА ИЗПЪЛНЕНИЕ НА ПОРЪЧКАТА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00"/>
        <w:gridCol w:w="6446"/>
      </w:tblGrid>
      <w:tr w:rsidR="0046777C" w:rsidRPr="00482F60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82F60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482F60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482F60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82F60" w:rsidRDefault="0046777C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272634"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Доставка на фабрично нов специализиран автомобил за събиране и транспортиране на отпадъци </w:t>
            </w:r>
            <w:r w:rsidRPr="00482F60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82F60" w:rsidRDefault="0046777C" w:rsidP="00B96CE6">
      <w:pPr>
        <w:pStyle w:val="a7"/>
        <w:spacing w:before="480" w:after="24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5" w:name="_Toc329089988"/>
      <w:r w:rsidRPr="00482F60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5"/>
    </w:p>
    <w:p w:rsidR="00482F60" w:rsidRPr="00482F60" w:rsidRDefault="00482F6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След запознаване с Решението, Обявлението и документацията, във връзка с участието в процедура публично състезание за възлагане на обществената поръчка, ние удостоверяваме и потвърждаваме, че представляваният от нас участник, отговаря на изискванията и условията на Възложителя, като Ви предлагаме да изпълним обществената поръчка с предмет: „</w:t>
      </w:r>
      <w:r w:rsidR="00272634" w:rsidRPr="00272634">
        <w:rPr>
          <w:rFonts w:ascii="Times New Roman Bulgarian" w:hAnsi="Times New Roman Bulgarian" w:cs="Times New Roman Bulgarian"/>
          <w:b/>
          <w:sz w:val="24"/>
          <w:szCs w:val="24"/>
        </w:rPr>
        <w:t xml:space="preserve">Доставка на фабрично нов специализиран автомобил за събиране и транспортиране на отпадъци 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>”.</w:t>
      </w:r>
    </w:p>
    <w:p w:rsidR="00482F60" w:rsidRPr="00482F60" w:rsidRDefault="00482F6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С настоящото представяме нашето Предложение за изпълнение на поръчката по обявената от Вас процедура с горепосочения предмет,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в съответствие с Техническата 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>спецификация към документацията.</w:t>
      </w:r>
    </w:p>
    <w:p w:rsidR="00482F60" w:rsidRPr="00482F60" w:rsidRDefault="00482F60" w:rsidP="00482F60">
      <w:pPr>
        <w:pStyle w:val="ListParagraph2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  <w:lang w:eastAsia="en-US"/>
        </w:rPr>
      </w:pPr>
      <w:r w:rsidRPr="00482F60">
        <w:rPr>
          <w:rFonts w:ascii="Times New Roman Bulgarian" w:hAnsi="Times New Roman Bulgarian" w:cs="Times New Roman Bulgarian"/>
          <w:bCs/>
          <w:sz w:val="24"/>
          <w:szCs w:val="24"/>
        </w:rPr>
        <w:t>Приемаме изцяло условията и изискванията на Възложителя.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eastAsia="Calibri" w:hAnsi="Times New Roman Bulgarian" w:cs="Times New Roman Bulgarian"/>
          <w:sz w:val="24"/>
          <w:szCs w:val="24"/>
        </w:rPr>
        <w:t xml:space="preserve">Декларираме, че ако бъдем избрани за Изпълнител, технически характеристики и оборудване на доставения от нас </w:t>
      </w:r>
      <w:r w:rsidR="00272634">
        <w:rPr>
          <w:rFonts w:ascii="Times New Roman Bulgarian" w:eastAsia="Calibri" w:hAnsi="Times New Roman Bulgarian" w:cs="Times New Roman Bulgarian"/>
          <w:sz w:val="24"/>
          <w:szCs w:val="24"/>
        </w:rPr>
        <w:t>специализиран автомобил</w:t>
      </w:r>
      <w:r w:rsidRPr="00482F60">
        <w:rPr>
          <w:rFonts w:ascii="Times New Roman Bulgarian" w:eastAsia="Calibri" w:hAnsi="Times New Roman Bulgarian" w:cs="Times New Roman Bulgarian"/>
          <w:sz w:val="24"/>
          <w:szCs w:val="24"/>
        </w:rPr>
        <w:t xml:space="preserve"> ще са съгласно приложена Техническа спецификация към документацията за участие.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Предлагаме багер със следните технически характеристики и оборудване:</w:t>
      </w:r>
    </w:p>
    <w:p w:rsidR="00482F60" w:rsidRDefault="00482F60" w:rsidP="00482F60">
      <w:pPr>
        <w:tabs>
          <w:tab w:val="left" w:pos="567"/>
        </w:tabs>
        <w:spacing w:after="0" w:line="240" w:lineRule="auto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(описват се техническите характеристики на предлагания </w:t>
      </w:r>
      <w:r w:rsidR="00272634">
        <w:rPr>
          <w:rFonts w:ascii="Times New Roman Bulgarian" w:hAnsi="Times New Roman Bulgarian" w:cs="Times New Roman Bulgarian"/>
          <w:b/>
          <w:bCs/>
          <w:sz w:val="24"/>
          <w:szCs w:val="24"/>
        </w:rPr>
        <w:t>специализиран автомобил</w:t>
      </w:r>
      <w:r w:rsidRPr="00482F60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, като задължително се посочват поне стойностите на характеристиките, описани в техническата спецификация) </w:t>
      </w:r>
    </w:p>
    <w:p w:rsidR="00272634" w:rsidRDefault="00272634" w:rsidP="00482F60">
      <w:pPr>
        <w:tabs>
          <w:tab w:val="left" w:pos="567"/>
        </w:tabs>
        <w:spacing w:after="0" w:line="240" w:lineRule="auto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tbl>
      <w:tblPr>
        <w:tblW w:w="1032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110"/>
        <w:gridCol w:w="3807"/>
      </w:tblGrid>
      <w:tr w:rsidR="00272634" w:rsidRPr="00272634" w:rsidTr="00272634">
        <w:trPr>
          <w:cantSplit/>
          <w:trHeight w:hRule="exact" w:val="5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634" w:rsidRPr="00272634" w:rsidRDefault="00272634" w:rsidP="0060758C">
            <w:pPr>
              <w:spacing w:after="0" w:line="269" w:lineRule="exact"/>
              <w:ind w:left="102" w:right="-2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b/>
                <w:spacing w:val="2"/>
                <w:sz w:val="24"/>
                <w:szCs w:val="24"/>
              </w:rPr>
              <w:t>х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ни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ч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ес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характеристики</w:t>
            </w:r>
          </w:p>
          <w:p w:rsidR="00272634" w:rsidRPr="00272634" w:rsidRDefault="00272634" w:rsidP="0060758C">
            <w:pPr>
              <w:spacing w:after="0" w:line="240" w:lineRule="auto"/>
              <w:ind w:left="102" w:right="-2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634" w:rsidRPr="00272634" w:rsidRDefault="00272634" w:rsidP="0060758C">
            <w:pPr>
              <w:spacing w:after="0" w:line="269" w:lineRule="exact"/>
              <w:ind w:left="102" w:right="-2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Минимални и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зи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с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в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а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ни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я</w:t>
            </w:r>
            <w:r w:rsidRPr="00272634">
              <w:rPr>
                <w:rFonts w:ascii="Times New Roman Bulgarian" w:hAnsi="Times New Roman Bulgarian" w:cs="Times New Roman Bulgarian"/>
                <w:b/>
                <w:spacing w:val="-6"/>
                <w:sz w:val="24"/>
                <w:szCs w:val="24"/>
              </w:rPr>
              <w:t xml:space="preserve"> на Възложителя 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ъм</w:t>
            </w:r>
            <w:r w:rsidRPr="00272634">
              <w:rPr>
                <w:rFonts w:ascii="Times New Roman Bulgarian" w:hAnsi="Times New Roman Bulgarian" w:cs="Times New Roman Bulgarian"/>
                <w:b/>
                <w:spacing w:val="-3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х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ни</w:t>
            </w:r>
            <w:r w:rsidRPr="00272634">
              <w:rPr>
                <w:rFonts w:ascii="Times New Roman Bulgarian" w:hAnsi="Times New Roman Bulgarian" w:cs="Times New Roman Bulgarian"/>
                <w:b/>
                <w:spacing w:val="-3"/>
                <w:sz w:val="24"/>
                <w:szCs w:val="24"/>
              </w:rPr>
              <w:t>ч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ес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ки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те</w:t>
            </w:r>
            <w:r w:rsidRPr="00272634">
              <w:rPr>
                <w:rFonts w:ascii="Times New Roman Bulgarian" w:hAnsi="Times New Roman Bulgarian" w:cs="Times New Roman Bulgarian"/>
                <w:b/>
                <w:spacing w:val="-8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b/>
                <w:spacing w:val="2"/>
                <w:sz w:val="24"/>
                <w:szCs w:val="24"/>
              </w:rPr>
              <w:t>х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а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р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а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р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с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</w:t>
            </w:r>
            <w:r w:rsidRPr="00272634">
              <w:rPr>
                <w:rFonts w:ascii="Times New Roman Bulgarian" w:hAnsi="Times New Roman Bulgarian" w:cs="Times New Roman Bulgarian"/>
                <w:b/>
                <w:spacing w:val="-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b/>
                <w:spacing w:val="1"/>
                <w:sz w:val="24"/>
                <w:szCs w:val="24"/>
              </w:rPr>
              <w:t>к</w:t>
            </w: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634" w:rsidRPr="00272634" w:rsidRDefault="00272634" w:rsidP="0060758C">
            <w:pPr>
              <w:spacing w:after="0" w:line="269" w:lineRule="exact"/>
              <w:ind w:left="102" w:right="-2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272634" w:rsidRPr="00272634" w:rsidTr="00272634">
        <w:trPr>
          <w:cantSplit/>
          <w:trHeight w:hRule="exact" w:val="8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Ба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з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ов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 xml:space="preserve"> а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втомоб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л </w:t>
            </w:r>
            <w:r w:rsidRPr="00272634">
              <w:rPr>
                <w:rFonts w:ascii="Times New Roman Bulgarian" w:hAnsi="Times New Roman Bulgarian" w:cs="Times New Roman Bulgarian"/>
                <w:spacing w:val="-6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 xml:space="preserve"> надстройка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ф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а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бр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ч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н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</w:t>
            </w:r>
            <w:r w:rsidRPr="00272634">
              <w:rPr>
                <w:rFonts w:ascii="Times New Roman Bulgarian" w:hAnsi="Times New Roman Bulgarian" w:cs="Times New Roman Bulgarian"/>
                <w:spacing w:val="-5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н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ов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,</w:t>
            </w:r>
            <w:r w:rsidRPr="00272634">
              <w:rPr>
                <w:rFonts w:ascii="Times New Roman Bulgarian" w:hAnsi="Times New Roman Bulgarian" w:cs="Times New Roman Bulgarian"/>
                <w:spacing w:val="-2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п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ро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з</w:t>
            </w:r>
            <w:r w:rsidRPr="00272634">
              <w:rPr>
                <w:rFonts w:ascii="Times New Roman Bulgarian" w:hAnsi="Times New Roman Bulgarian" w:cs="Times New Roman Bulgarian"/>
                <w:spacing w:val="-3"/>
                <w:sz w:val="24"/>
                <w:szCs w:val="24"/>
              </w:rPr>
              <w:t>в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н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pacing w:val="-2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н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е</w:t>
            </w:r>
            <w:r w:rsidRPr="00272634">
              <w:rPr>
                <w:rFonts w:ascii="Times New Roman Bulgarian" w:hAnsi="Times New Roman Bulgarian" w:cs="Times New Roman Bulgarian"/>
                <w:spacing w:val="58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п</w:t>
            </w:r>
            <w:r w:rsidRPr="00272634">
              <w:rPr>
                <w:rFonts w:ascii="Times New Roman Bulgarian" w:hAnsi="Times New Roman Bulgarian" w:cs="Times New Roman Bulgarian"/>
                <w:spacing w:val="3"/>
                <w:sz w:val="24"/>
                <w:szCs w:val="24"/>
              </w:rPr>
              <w:t>о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-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а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н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</w:t>
            </w:r>
            <w:r w:rsidRPr="00272634">
              <w:rPr>
                <w:rFonts w:ascii="Times New Roman Bulgarian" w:hAnsi="Times New Roman Bulgarian" w:cs="Times New Roman Bulgarian"/>
                <w:spacing w:val="-2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от 01.10.2019 г.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28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А. Ба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з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ов</w:t>
            </w:r>
            <w:r w:rsidRPr="00272634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 xml:space="preserve"> а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втомоб</w:t>
            </w:r>
            <w:r w:rsidRPr="00272634">
              <w:rPr>
                <w:rFonts w:ascii="Times New Roman Bulgarian" w:hAnsi="Times New Roman Bulgarian" w:cs="Times New Roman Bulgarian"/>
                <w:spacing w:val="1"/>
                <w:sz w:val="24"/>
                <w:szCs w:val="24"/>
              </w:rPr>
              <w:t>и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</w:pPr>
          </w:p>
        </w:tc>
      </w:tr>
      <w:tr w:rsidR="00272634" w:rsidRPr="00272634" w:rsidTr="00DC0CCD">
        <w:trPr>
          <w:cantSplit/>
          <w:trHeight w:hRule="exact" w:val="11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10" w:firstLine="102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Технически допустимо общо тегло на автомобила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6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Минимум 18 000,00 кг.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6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4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Колесна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формула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4 х 2 Блокаж на задвижващата ос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DC0CCD">
        <w:trPr>
          <w:cantSplit/>
          <w:trHeight w:hRule="exact" w:val="9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left="0" w:right="-20" w:firstLine="102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Междуосово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разстояние между първа и задвижваща ос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3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Максимум 4500 мм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3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6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Натоварване на оси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1ва ос – мин. 7000 кг.</w:t>
            </w:r>
          </w:p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2ра ос – мин. 12 000 кг.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17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9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Двигател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25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Гориво – Дизел</w:t>
            </w:r>
          </w:p>
          <w:p w:rsidR="00272634" w:rsidRPr="00272634" w:rsidRDefault="00272634" w:rsidP="0060758C">
            <w:pPr>
              <w:spacing w:after="0" w:line="240" w:lineRule="auto"/>
              <w:ind w:left="102" w:right="25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Еко норма на изгорели газове – Евро 6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D</w:t>
            </w:r>
          </w:p>
          <w:p w:rsidR="00272634" w:rsidRPr="00272634" w:rsidRDefault="00272634" w:rsidP="0060758C">
            <w:pPr>
              <w:spacing w:after="0" w:line="240" w:lineRule="auto"/>
              <w:ind w:left="102" w:right="251"/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Мощност – мин. 200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kW</w:t>
            </w:r>
          </w:p>
          <w:p w:rsidR="00272634" w:rsidRPr="00272634" w:rsidRDefault="00272634" w:rsidP="0060758C">
            <w:pPr>
              <w:spacing w:after="0" w:line="240" w:lineRule="auto"/>
              <w:ind w:left="102" w:right="25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Въртящ момент – минимум 1300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Nm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25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18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Скоростна кутия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42" w:right="-2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Механична (Ръчна)</w:t>
            </w:r>
          </w:p>
          <w:p w:rsidR="00272634" w:rsidRPr="00272634" w:rsidRDefault="00272634" w:rsidP="0060758C">
            <w:pPr>
              <w:spacing w:after="0" w:line="240" w:lineRule="auto"/>
              <w:ind w:left="142" w:right="-2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Брой предавки – минимум 8 за преден ход и 1 за задна скорост</w:t>
            </w:r>
          </w:p>
          <w:p w:rsidR="00272634" w:rsidRPr="00272634" w:rsidRDefault="00272634" w:rsidP="0060758C">
            <w:pPr>
              <w:spacing w:after="0" w:line="240" w:lineRule="auto"/>
              <w:ind w:left="142" w:right="-2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Съединител – минимум 430 мм</w:t>
            </w:r>
          </w:p>
          <w:p w:rsidR="00272634" w:rsidRPr="00272634" w:rsidRDefault="00272634" w:rsidP="00272634">
            <w:pPr>
              <w:spacing w:after="0" w:line="240" w:lineRule="auto"/>
              <w:ind w:left="142" w:right="-2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Отвод на мощност (РТО) към скоростната кутия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42" w:right="-2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20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Спирачна система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Дискови спирачки</w:t>
            </w:r>
          </w:p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Двукръгова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спирачна система</w:t>
            </w:r>
          </w:p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Датчик за износване на спирачките</w:t>
            </w:r>
          </w:p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ESP + ABS + EBS</w:t>
            </w:r>
          </w:p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Паркинг система</w:t>
            </w:r>
          </w:p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Моторна спирачка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404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7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Окачване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Ресорно на заден мост</w:t>
            </w:r>
          </w:p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Блокаж на диференциала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75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Кабина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Брой места – водач + 2 места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Волан – ляво разположение, с възможност за регулиране по височина и дълбочина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Електрическо управление на ляво и дясно стъкло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Климатик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Радио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Регулируема по височина и дълбочина шофьорска седалка на въздушна възглавница, с вградено отопление и лумбална опора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Монитор на камера за задно виждане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Мултифункционален информационен дисплей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Система за следене на осевата линия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Дигитален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тахограф</w:t>
            </w:r>
            <w:proofErr w:type="spellEnd"/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Сензор за дъжд и автоматично включване на чистачките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Странични огледала, минимум две от тях с ел. управление и подгряване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Круиз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контрол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Централно заключване</w:t>
            </w:r>
          </w:p>
          <w:p w:rsidR="00272634" w:rsidRPr="00272634" w:rsidRDefault="00272634" w:rsidP="0060758C">
            <w:pPr>
              <w:spacing w:after="0" w:line="240" w:lineRule="auto"/>
              <w:ind w:left="102" w:right="327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Ключ с дистанционно управление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12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Резервоари за гориво и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Ad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0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Резервоар за гориво с обем минимум 300 л.</w:t>
            </w:r>
          </w:p>
          <w:p w:rsidR="00272634" w:rsidRPr="00272634" w:rsidRDefault="00272634" w:rsidP="0060758C">
            <w:pPr>
              <w:spacing w:after="0" w:line="240" w:lineRule="auto"/>
              <w:ind w:left="102" w:right="10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Резервоар за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Ad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Blue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 обем минимум 50 л.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0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4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Джанти и Гуми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7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Минимум 22 цола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7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28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9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Светлини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Дневни светлини</w:t>
            </w:r>
          </w:p>
          <w:p w:rsidR="00272634" w:rsidRPr="00272634" w:rsidRDefault="00272634" w:rsidP="0060758C">
            <w:pPr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Предни фарове за мъгла</w:t>
            </w:r>
          </w:p>
          <w:p w:rsidR="00272634" w:rsidRPr="00272634" w:rsidRDefault="00272634" w:rsidP="0060758C">
            <w:pPr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Прожектор разположен в горната част на задния капак на бункера, осветяващ работната зона по време на работа през нощта</w:t>
            </w:r>
          </w:p>
          <w:p w:rsidR="00272634" w:rsidRPr="00272634" w:rsidRDefault="00272634" w:rsidP="0060758C">
            <w:pPr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Жълта сигнална светлина</w:t>
            </w:r>
          </w:p>
          <w:p w:rsidR="00272634" w:rsidRPr="00272634" w:rsidRDefault="00272634" w:rsidP="0060758C">
            <w:pPr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Светлоотразителни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стикери и ленти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634" w:rsidRPr="00272634" w:rsidRDefault="00272634" w:rsidP="0060758C">
            <w:pPr>
              <w:tabs>
                <w:tab w:val="left" w:pos="3402"/>
              </w:tabs>
              <w:spacing w:after="0" w:line="276" w:lineRule="exact"/>
              <w:ind w:left="102" w:right="379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52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2634" w:rsidRPr="00272634" w:rsidRDefault="00272634" w:rsidP="0060758C">
            <w:pPr>
              <w:spacing w:after="0" w:line="269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Б. Надстройка – тип „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вариопреса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2634" w:rsidRPr="00272634" w:rsidRDefault="00272634" w:rsidP="0060758C">
            <w:pPr>
              <w:spacing w:after="0" w:line="269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5B1822">
        <w:trPr>
          <w:cantSplit/>
          <w:trHeight w:hRule="exact" w:val="72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Бункер за отпадъци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Обем – минимум 15 м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vertAlign w:val="superscript"/>
              </w:rPr>
              <w:t>3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Степен на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компактиране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минимум 4:1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Изработен от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износоустойчива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стомана с дебелина на пода, страничните стени и тавана минимум 4 мм.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Приемна вана с обем минимум 1,5 м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  <w:vertAlign w:val="superscript"/>
              </w:rPr>
              <w:t>3</w:t>
            </w: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и изработена от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износоустойчива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стомана с дебелина на дъното минимум 8 мм.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Механизъм за подаване и уплътняване на отпадъка (пресоващ механизъм), монтиран в задния капак на надстройката с възможност за работа в ръчен, полуавтоматичен и автоматичен режим.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Заден капак на бункера повдигащ се при разтоварване с хидравлични цилиндри с хидравлично заключване.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Резервоар за мръсна вода с обем минимум 70 л.</w:t>
            </w:r>
          </w:p>
          <w:p w:rsidR="00272634" w:rsidRPr="00272634" w:rsidRDefault="00272634" w:rsidP="0060758C">
            <w:pPr>
              <w:spacing w:after="0" w:line="240" w:lineRule="auto"/>
              <w:ind w:left="102" w:right="29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Две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степенки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за операторите в задната част.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3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12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Повдигащ механизъм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3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Комбиниран, за повдигане и разтоварване на контейнери за смет тип „Бобър“ 1100 л. и кофи с вместимост 110 л. и 240 л.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40" w:lineRule="auto"/>
              <w:ind w:left="102" w:right="131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5B1822">
        <w:trPr>
          <w:cantSplit/>
          <w:trHeight w:hRule="exact" w:val="78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Системи за безопасност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Изключване работата на надстройката при наличие на оператор на задните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степенки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Автоматично ограничаване скоростта на автомобила до 30 км/ч при наличие на оператор върху задните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степенки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Блокиране на движението на заден ход на автомобила при наличие на оператор на задните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степенки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Ръкохватки за операторите за задържане при движение на автомобила когато оператор е на </w:t>
            </w:r>
            <w:proofErr w:type="spellStart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степенката</w:t>
            </w:r>
            <w:proofErr w:type="spellEnd"/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Видео камера в задната част с монитор в кабината за наблюдение работата на операторите.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Аварийни бутони на пултовете за управление на операторите и водача изключващи всички функции на работа.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Управление на задния капак на бункера (отваряне и затваряне) чрез пулт с бутони, изискващи едновременна работа с две ръце.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Звуков сигнал при движение на заден ход.</w:t>
            </w:r>
          </w:p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Лява и дясна странични защити на автомобила.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5B1822">
        <w:trPr>
          <w:cantSplit/>
          <w:trHeight w:hRule="exact" w:val="1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Гаранционен срок на автомобила и надстройката към него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Минимум 24 месеца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272634" w:rsidRPr="00272634" w:rsidTr="00272634">
        <w:trPr>
          <w:cantSplit/>
          <w:trHeight w:hRule="exact" w:val="12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2726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ind w:right="-20"/>
              <w:contextualSpacing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Срок на доставка на автомобила и надстройката към него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72634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Максимум 120 дни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272634" w:rsidRDefault="00272634" w:rsidP="0060758C">
            <w:pPr>
              <w:spacing w:after="0" w:line="267" w:lineRule="exact"/>
              <w:ind w:left="102" w:right="-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272634" w:rsidRDefault="00272634" w:rsidP="00482F60">
      <w:pPr>
        <w:tabs>
          <w:tab w:val="left" w:pos="567"/>
        </w:tabs>
        <w:spacing w:after="0" w:line="240" w:lineRule="auto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5B1822" w:rsidRDefault="005B1822" w:rsidP="005B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  <w:r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Предлаганият от нас специализиран автомобил е със следните допълнителни технически характеристики: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5B1822" w:rsidTr="000B735F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B1822" w:rsidTr="000B735F">
        <w:tc>
          <w:tcPr>
            <w:tcW w:w="5637" w:type="dxa"/>
            <w:tcBorders>
              <w:top w:val="single" w:sz="4" w:space="0" w:color="auto"/>
            </w:tcBorders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4448EC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Специфичен разход на гориво” измерен в </w:t>
            </w:r>
            <w:r w:rsidRPr="004448EC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t>g/kW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B1822" w:rsidTr="005B1822">
        <w:tc>
          <w:tcPr>
            <w:tcW w:w="5637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М</w:t>
            </w:r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аксималната мощност на двигателя</w:t>
            </w:r>
            <w:r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</w:t>
            </w:r>
            <w:r w:rsidRPr="004448EC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измерен</w:t>
            </w:r>
            <w:r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а</w:t>
            </w:r>
            <w:r w:rsidRPr="004448EC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в </w:t>
            </w:r>
            <w:r w:rsidRPr="004448EC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t>kW</w:t>
            </w:r>
          </w:p>
        </w:tc>
        <w:tc>
          <w:tcPr>
            <w:tcW w:w="4110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B1822" w:rsidTr="005B1822">
        <w:tc>
          <w:tcPr>
            <w:tcW w:w="5637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Т</w:t>
            </w:r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ехнически допустима максимална маса (тегло) на нат</w:t>
            </w:r>
            <w:r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овареното превозно средство – </w:t>
            </w:r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(тона)</w:t>
            </w:r>
          </w:p>
        </w:tc>
        <w:tc>
          <w:tcPr>
            <w:tcW w:w="4110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B1822" w:rsidTr="005B1822">
        <w:tc>
          <w:tcPr>
            <w:tcW w:w="5637" w:type="dxa"/>
          </w:tcPr>
          <w:p w:rsidR="005B1822" w:rsidRP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proofErr w:type="spellStart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Литрова</w:t>
            </w:r>
            <w:proofErr w:type="spellEnd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мощност в </w:t>
            </w:r>
            <w:proofErr w:type="spellStart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кW</w:t>
            </w:r>
            <w:proofErr w:type="spellEnd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/ </w:t>
            </w:r>
            <w:proofErr w:type="spellStart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t>dm</w:t>
            </w:r>
            <w:proofErr w:type="spellEnd"/>
            <w:r w:rsidRPr="005B1822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4110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B1822" w:rsidTr="005B1822">
        <w:tc>
          <w:tcPr>
            <w:tcW w:w="5637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822" w:rsidRDefault="005B1822" w:rsidP="005B1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</w:p>
        </w:tc>
      </w:tr>
    </w:tbl>
    <w:p w:rsidR="005B1822" w:rsidRDefault="005B1822" w:rsidP="005B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При условие, че бъдем избрани за изпълнител на обществената поръчка, изразяваме нашето съгласие срокът на изпълнение на обществената поръчка да е както следва: договорът за изпълнение на поръчката влиза в сила, считано от датата на </w:t>
      </w:r>
      <w:r>
        <w:rPr>
          <w:rFonts w:ascii="Times New Roman Bulgarian" w:hAnsi="Times New Roman Bulgarian" w:cs="Times New Roman Bulgarian"/>
          <w:sz w:val="24"/>
          <w:szCs w:val="24"/>
        </w:rPr>
        <w:lastRenderedPageBreak/>
        <w:t>сключването му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. Срока на изпълнение на доставката е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до 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="00C12479"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C12479"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C12479">
        <w:rPr>
          <w:rFonts w:ascii="Times New Roman Bulgarian" w:hAnsi="Times New Roman Bulgarian" w:cs="Times New Roman Bulgarian"/>
          <w:b/>
          <w:sz w:val="24"/>
          <w:szCs w:val="24"/>
        </w:rPr>
        <w:t>/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="00C12479"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C12479"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/ </w:t>
      </w:r>
      <w:r w:rsidR="00C12479">
        <w:rPr>
          <w:rFonts w:ascii="Times New Roman Bulgarian" w:hAnsi="Times New Roman Bulgarian" w:cs="Times New Roman Bulgarian"/>
          <w:b/>
          <w:sz w:val="24"/>
          <w:szCs w:val="24"/>
        </w:rPr>
        <w:t xml:space="preserve">календарни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дни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, считано от датата на сключване на договора. 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 Bulgarian" w:eastAsia="Times New Rom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Предлагаме гаранционен срок - 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bookmarkStart w:id="6" w:name="Text35"/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bookmarkEnd w:id="6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/словом/ месеца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, считано от датата на </w:t>
      </w:r>
      <w:proofErr w:type="spellStart"/>
      <w:r w:rsidRPr="00482F60">
        <w:rPr>
          <w:rFonts w:ascii="Times New Roman Bulgarian" w:hAnsi="Times New Roman Bulgarian" w:cs="Times New Roman Bulgarian"/>
          <w:sz w:val="24"/>
          <w:szCs w:val="24"/>
        </w:rPr>
        <w:t>приемо</w:t>
      </w:r>
      <w:proofErr w:type="spellEnd"/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 - предавателния протокол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,</w:t>
      </w:r>
      <w:r w:rsidRPr="00482F60">
        <w:rPr>
          <w:rFonts w:ascii="Times New Roman Bulgarian" w:eastAsia="Calibri" w:hAnsi="Times New Roman Bulgarian" w:cs="Times New Roman Bulgarian"/>
          <w:sz w:val="24"/>
          <w:szCs w:val="24"/>
        </w:rPr>
        <w:t xml:space="preserve"> удостоверяващ доставката.</w:t>
      </w:r>
    </w:p>
    <w:p w:rsidR="00482F60" w:rsidRPr="00482F60" w:rsidRDefault="00482F60" w:rsidP="00482F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(Участниците следва да предложат гаранционен срок на багера 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  <w:u w:val="single"/>
        </w:rPr>
        <w:t xml:space="preserve">– минимум </w:t>
      </w:r>
      <w:r w:rsidR="00272634">
        <w:rPr>
          <w:rFonts w:ascii="Times New Roman Bulgarian" w:hAnsi="Times New Roman Bulgarian" w:cs="Times New Roman Bulgarian"/>
          <w:i/>
          <w:sz w:val="24"/>
          <w:szCs w:val="24"/>
          <w:u w:val="single"/>
        </w:rPr>
        <w:t>24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  <w:u w:val="single"/>
        </w:rPr>
        <w:t xml:space="preserve"> месеца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, считано от датата на </w:t>
      </w:r>
      <w:proofErr w:type="spellStart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>приемо</w:t>
      </w:r>
      <w:proofErr w:type="spellEnd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 - предавателния протокол, </w:t>
      </w:r>
      <w:r w:rsidR="00272634" w:rsidRPr="00482F60">
        <w:rPr>
          <w:rFonts w:ascii="Times New Roman Bulgarian" w:hAnsi="Times New Roman Bulgarian" w:cs="Times New Roman Bulgarian"/>
          <w:i/>
          <w:sz w:val="24"/>
          <w:szCs w:val="24"/>
        </w:rPr>
        <w:t>удостоверяващ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 доставката)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bookmarkStart w:id="7" w:name="_GoBack"/>
      <w:bookmarkEnd w:id="7"/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срокът на валидността на нашето Техническото предложение е </w:t>
      </w:r>
      <w:r w:rsidRPr="00482F60">
        <w:rPr>
          <w:rFonts w:ascii="Times New Roman Bulgarian" w:hAnsi="Times New Roman Bulgarian" w:cs="Times New Roman Bulgarian"/>
          <w:b/>
          <w:bCs/>
          <w:sz w:val="24"/>
          <w:szCs w:val="24"/>
        </w:rPr>
        <w:t>3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 месеца</w:t>
      </w:r>
      <w:r w:rsidRPr="00482F60">
        <w:rPr>
          <w:rFonts w:ascii="Times New Roman Bulgarian" w:hAnsi="Times New Roman Bulgarian" w:cs="Times New Roman Bulgarian"/>
          <w:bCs/>
          <w:sz w:val="24"/>
          <w:szCs w:val="24"/>
        </w:rPr>
        <w:t>,</w:t>
      </w:r>
      <w:r w:rsidRPr="00482F60">
        <w:rPr>
          <w:rFonts w:ascii="Times New Roman Bulgarian" w:hAnsi="Times New Roman Bulgarian" w:cs="Times New Roman Bulgarian"/>
          <w:color w:val="000000"/>
          <w:sz w:val="24"/>
          <w:szCs w:val="24"/>
          <w:lang w:eastAsia="nl-NL"/>
        </w:rPr>
        <w:t xml:space="preserve"> считано от датата, определена за краен срок за получаване на оферти.</w:t>
      </w:r>
    </w:p>
    <w:p w:rsidR="00C12A04" w:rsidRPr="00C12A04" w:rsidRDefault="00C12A04" w:rsidP="00C12A04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Към настоящото предложение за изпълнение на поръчката прилагаме </w:t>
      </w:r>
      <w:r w:rsidRPr="00C12A04">
        <w:rPr>
          <w:rFonts w:ascii="Times New Roman Bulgarian" w:hAnsi="Times New Roman Bulgarian" w:cs="Times New Roman Bulgarian"/>
          <w:b/>
          <w:sz w:val="24"/>
          <w:szCs w:val="24"/>
        </w:rPr>
        <w:t xml:space="preserve">Техническо описание, каталог /без цени/ представящи характеристиките на предлагания </w:t>
      </w:r>
      <w:r w:rsidR="00272634">
        <w:rPr>
          <w:rFonts w:ascii="Times New Roman Bulgarian" w:hAnsi="Times New Roman Bulgarian" w:cs="Times New Roman Bulgarian"/>
          <w:b/>
          <w:sz w:val="24"/>
          <w:szCs w:val="24"/>
        </w:rPr>
        <w:t>специализиран автомобил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 xml:space="preserve"> на български език /или с превод на български език/  - </w:t>
      </w:r>
      <w:r w:rsidRPr="00C12A04">
        <w:rPr>
          <w:rFonts w:ascii="Times New Roman Bulgarian" w:hAnsi="Times New Roman Bulgarian" w:cs="Times New Roman Bulgarian"/>
          <w:sz w:val="24"/>
          <w:szCs w:val="24"/>
          <w:u w:val="single"/>
        </w:rPr>
        <w:t>на хартиен или електронен носител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C12A04" w:rsidRPr="00C12A04" w:rsidRDefault="00C12A04" w:rsidP="00C12A04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С 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 xml:space="preserve">посочените по-горе документи,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доказваме 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>съответствието на технически данни, описани в техническата спецификация, с предлаганите такива</w:t>
      </w:r>
      <w:r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482C33" w:rsidRDefault="00482C33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p w:rsidR="00C12A04" w:rsidRPr="00482F60" w:rsidRDefault="00C12A04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482F60" w:rsidRDefault="00C47121" w:rsidP="00482C33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482F60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5A5"/>
    <w:multiLevelType w:val="hybridMultilevel"/>
    <w:tmpl w:val="B114D734"/>
    <w:lvl w:ilvl="0" w:tplc="A5DC66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023"/>
    <w:multiLevelType w:val="hybridMultilevel"/>
    <w:tmpl w:val="6B749D00"/>
    <w:lvl w:ilvl="0" w:tplc="B8CE3E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646"/>
    <w:multiLevelType w:val="hybridMultilevel"/>
    <w:tmpl w:val="329AA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F55"/>
    <w:multiLevelType w:val="hybridMultilevel"/>
    <w:tmpl w:val="C6949AF8"/>
    <w:lvl w:ilvl="0" w:tplc="26A6073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D9393F"/>
    <w:multiLevelType w:val="hybridMultilevel"/>
    <w:tmpl w:val="76FAF578"/>
    <w:lvl w:ilvl="0" w:tplc="607E53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1E5C"/>
    <w:multiLevelType w:val="hybridMultilevel"/>
    <w:tmpl w:val="D2AA397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496FF4"/>
    <w:multiLevelType w:val="hybridMultilevel"/>
    <w:tmpl w:val="9B3485D4"/>
    <w:lvl w:ilvl="0" w:tplc="95BE3D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77C"/>
    <w:rsid w:val="00006D39"/>
    <w:rsid w:val="000B735F"/>
    <w:rsid w:val="0016452B"/>
    <w:rsid w:val="00196112"/>
    <w:rsid w:val="00212EE2"/>
    <w:rsid w:val="00272634"/>
    <w:rsid w:val="003077B5"/>
    <w:rsid w:val="00312F85"/>
    <w:rsid w:val="0032240E"/>
    <w:rsid w:val="0033285B"/>
    <w:rsid w:val="00334794"/>
    <w:rsid w:val="00346AA8"/>
    <w:rsid w:val="00393416"/>
    <w:rsid w:val="003A5800"/>
    <w:rsid w:val="003D1763"/>
    <w:rsid w:val="0042092B"/>
    <w:rsid w:val="0046777C"/>
    <w:rsid w:val="00482C33"/>
    <w:rsid w:val="00482F60"/>
    <w:rsid w:val="00516ACE"/>
    <w:rsid w:val="00550391"/>
    <w:rsid w:val="005B1822"/>
    <w:rsid w:val="006655C7"/>
    <w:rsid w:val="006770D2"/>
    <w:rsid w:val="00682EB1"/>
    <w:rsid w:val="0075630B"/>
    <w:rsid w:val="007F4F4C"/>
    <w:rsid w:val="00907CAE"/>
    <w:rsid w:val="0097468B"/>
    <w:rsid w:val="00A15BBD"/>
    <w:rsid w:val="00AF4B88"/>
    <w:rsid w:val="00AF6ECC"/>
    <w:rsid w:val="00B3616F"/>
    <w:rsid w:val="00B737DD"/>
    <w:rsid w:val="00B96CE6"/>
    <w:rsid w:val="00BD1566"/>
    <w:rsid w:val="00C12479"/>
    <w:rsid w:val="00C12A04"/>
    <w:rsid w:val="00C47121"/>
    <w:rsid w:val="00C52D4B"/>
    <w:rsid w:val="00C85629"/>
    <w:rsid w:val="00CA660C"/>
    <w:rsid w:val="00CC3851"/>
    <w:rsid w:val="00CE5EB2"/>
    <w:rsid w:val="00D55F65"/>
    <w:rsid w:val="00DC0CCD"/>
    <w:rsid w:val="00E22A85"/>
    <w:rsid w:val="00ED79D2"/>
    <w:rsid w:val="00EE3521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4CA30A-12C1-41F7-AB8E-6AA19FAA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12F85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customStyle="1" w:styleId="ListParagraph2">
    <w:name w:val="List Paragraph2"/>
    <w:basedOn w:val="a"/>
    <w:rsid w:val="00482F60"/>
    <w:pPr>
      <w:widowControl w:val="0"/>
      <w:suppressAutoHyphens/>
      <w:ind w:left="720"/>
      <w:contextualSpacing/>
    </w:pPr>
    <w:rPr>
      <w:rFonts w:cs="Calibri"/>
      <w:kern w:val="1"/>
      <w:lang w:eastAsia="zh-CN" w:bidi="hi-IN"/>
    </w:rPr>
  </w:style>
  <w:style w:type="paragraph" w:customStyle="1" w:styleId="19">
    <w:name w:val="Основен текст (19)"/>
    <w:basedOn w:val="a"/>
    <w:link w:val="190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kern w:val="1"/>
      <w:sz w:val="12"/>
      <w:szCs w:val="12"/>
      <w:lang w:eastAsia="zh-CN" w:bidi="hi-IN"/>
    </w:rPr>
  </w:style>
  <w:style w:type="paragraph" w:customStyle="1" w:styleId="1">
    <w:name w:val="Основен текст1"/>
    <w:basedOn w:val="a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Lucida Sans Unicode" w:eastAsia="SimSun" w:hAnsi="Lucida Sans Unicode" w:cs="Lucida Sans Unicode"/>
      <w:kern w:val="1"/>
      <w:sz w:val="21"/>
      <w:szCs w:val="21"/>
      <w:lang w:eastAsia="zh-CN" w:bidi="hi-IN"/>
    </w:rPr>
  </w:style>
  <w:style w:type="character" w:customStyle="1" w:styleId="190">
    <w:name w:val="Основен текст (19)_"/>
    <w:link w:val="19"/>
    <w:uiPriority w:val="99"/>
    <w:locked/>
    <w:rsid w:val="00482F60"/>
    <w:rPr>
      <w:rFonts w:eastAsia="Times New Roman" w:cs="Times New Roman"/>
      <w:kern w:val="1"/>
      <w:sz w:val="12"/>
      <w:szCs w:val="12"/>
      <w:shd w:val="clear" w:color="auto" w:fill="FFFFFF"/>
      <w:lang w:eastAsia="zh-CN" w:bidi="hi-IN"/>
    </w:rPr>
  </w:style>
  <w:style w:type="table" w:styleId="aa">
    <w:name w:val="Table Grid"/>
    <w:basedOn w:val="a1"/>
    <w:uiPriority w:val="59"/>
    <w:rsid w:val="005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18</cp:revision>
  <cp:lastPrinted>2015-05-20T07:42:00Z</cp:lastPrinted>
  <dcterms:created xsi:type="dcterms:W3CDTF">2015-05-15T07:44:00Z</dcterms:created>
  <dcterms:modified xsi:type="dcterms:W3CDTF">2020-04-06T12:44:00Z</dcterms:modified>
</cp:coreProperties>
</file>